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80"/>
      </w:pPr>
      <w:r>
        <w:rPr>
          <w:rFonts w:ascii="Aptos Display" w:hAnsi="Aptos Display"/>
          <w:b/>
          <w:color w:val="00A6A6"/>
          <w:sz w:val="28"/>
        </w:rPr>
        <w:t>PHYGITAL</w:t>
      </w:r>
    </w:p>
    <w:p>
      <w:pPr>
        <w:spacing w:after="80"/>
      </w:pPr>
      <w:r>
        <w:rPr>
          <w:rFonts w:ascii="Aptos Display" w:hAnsi="Aptos Display"/>
          <w:b/>
          <w:color w:val="15395B"/>
          <w:sz w:val="56"/>
        </w:rPr>
        <w:t>Carbon Reduction Plan</w:t>
      </w:r>
    </w:p>
    <w:p>
      <w:pPr>
        <w:spacing w:after="360"/>
      </w:pPr>
      <w:r>
        <w:rPr>
          <w:color w:val="526777"/>
          <w:sz w:val="24"/>
        </w:rPr>
        <w:t>Prepared in accordance with Procurement Policy Note PPN 006</w:t>
      </w:r>
    </w:p>
    <w:tbl>
      <w:tblPr>
        <w:tblStyle w:val="TableGrid"/>
        <w:tblW w:type="dxa" w:w="9720"/>
        <w:jc w:val="center"/>
        <w:tblLayout w:type="fixed"/>
        <w:tblLook w:firstColumn="1" w:firstRow="1" w:lastColumn="0" w:lastRow="0" w:noHBand="0" w:noVBand="1" w:val="04A0"/>
      </w:tblPr>
      <w:tblGrid>
        <w:gridCol w:w="4896"/>
        <w:gridCol w:w="4896"/>
      </w:tblGrid>
      <w:tr>
        <w:trPr>
          <w:cantSplit/>
        </w:trPr>
        <w:tc>
          <w:tcPr>
            <w:tcW w:type="dxa" w:w="2376"/>
            <w:shd w:fill="EAF2F6"/>
            <w:tcMar>
              <w:top w:w="90" w:type="dxa"/>
              <w:start w:w="110" w:type="dxa"/>
              <w:bottom w:w="90" w:type="dxa"/>
              <w:end w:w="110" w:type="dxa"/>
            </w:tcMar>
            <w:vAlign w:val="center"/>
          </w:tcPr>
          <w:p>
            <w:pPr>
              <w:spacing w:after="0" w:line="240" w:lineRule="auto"/>
            </w:pPr>
            <w:r>
              <w:rPr>
                <w:rFonts w:ascii="Aptos" w:hAnsi="Aptos"/>
                <w:b/>
                <w:color w:val="15395B"/>
                <w:sz w:val="18"/>
              </w:rPr>
              <w:t>Supplier</w:t>
            </w:r>
          </w:p>
        </w:tc>
        <w:tc>
          <w:tcPr>
            <w:tcW w:type="dxa" w:w="7343"/>
            <w:tcMar>
              <w:top w:w="90" w:type="dxa"/>
              <w:start w:w="110" w:type="dxa"/>
              <w:bottom w:w="90" w:type="dxa"/>
              <w:end w:w="110" w:type="dxa"/>
            </w:tcMar>
            <w:vAlign w:val="center"/>
          </w:tcPr>
          <w:p>
            <w:pPr>
              <w:spacing w:after="0" w:line="240" w:lineRule="auto"/>
            </w:pPr>
            <w:r>
              <w:rPr>
                <w:rFonts w:ascii="Aptos" w:hAnsi="Aptos"/>
                <w:sz w:val="18"/>
              </w:rPr>
              <w:t>Phygital Ltd</w:t>
            </w:r>
          </w:p>
        </w:tc>
      </w:tr>
      <w:tr>
        <w:trPr>
          <w:cantSplit/>
        </w:trPr>
        <w:tc>
          <w:tcPr>
            <w:tcW w:type="dxa" w:w="2376"/>
            <w:shd w:fill="EAF2F6"/>
            <w:tcMar>
              <w:top w:w="90" w:type="dxa"/>
              <w:start w:w="110" w:type="dxa"/>
              <w:bottom w:w="90" w:type="dxa"/>
              <w:end w:w="110" w:type="dxa"/>
            </w:tcMar>
            <w:vAlign w:val="center"/>
          </w:tcPr>
          <w:p>
            <w:pPr>
              <w:spacing w:after="0" w:line="240" w:lineRule="auto"/>
            </w:pPr>
            <w:r>
              <w:rPr>
                <w:rFonts w:ascii="Aptos" w:hAnsi="Aptos"/>
                <w:b/>
                <w:color w:val="15395B"/>
                <w:sz w:val="18"/>
              </w:rPr>
              <w:t>Reporting period</w:t>
            </w:r>
          </w:p>
        </w:tc>
        <w:tc>
          <w:tcPr>
            <w:tcW w:type="dxa" w:w="7343"/>
            <w:tcMar>
              <w:top w:w="90" w:type="dxa"/>
              <w:start w:w="110" w:type="dxa"/>
              <w:bottom w:w="90" w:type="dxa"/>
              <w:end w:w="110" w:type="dxa"/>
            </w:tcMar>
            <w:vAlign w:val="center"/>
          </w:tcPr>
          <w:p>
            <w:pPr>
              <w:spacing w:after="0" w:line="240" w:lineRule="auto"/>
            </w:pPr>
            <w:r>
              <w:rPr>
                <w:rFonts w:ascii="Aptos" w:hAnsi="Aptos"/>
                <w:sz w:val="18"/>
              </w:rPr>
              <w:t>1 August 2025 to 31 July 2026</w:t>
            </w:r>
          </w:p>
        </w:tc>
      </w:tr>
      <w:tr>
        <w:trPr>
          <w:cantSplit/>
        </w:trPr>
        <w:tc>
          <w:tcPr>
            <w:tcW w:type="dxa" w:w="2376"/>
            <w:shd w:fill="EAF2F6"/>
            <w:tcMar>
              <w:top w:w="90" w:type="dxa"/>
              <w:start w:w="110" w:type="dxa"/>
              <w:bottom w:w="90" w:type="dxa"/>
              <w:end w:w="110" w:type="dxa"/>
            </w:tcMar>
            <w:vAlign w:val="center"/>
          </w:tcPr>
          <w:p>
            <w:pPr>
              <w:spacing w:after="0" w:line="240" w:lineRule="auto"/>
            </w:pPr>
            <w:r>
              <w:rPr>
                <w:rFonts w:ascii="Aptos" w:hAnsi="Aptos"/>
                <w:b/>
                <w:color w:val="15395B"/>
                <w:sz w:val="18"/>
              </w:rPr>
              <w:t>Publication date</w:t>
            </w:r>
          </w:p>
        </w:tc>
        <w:tc>
          <w:tcPr>
            <w:tcW w:type="dxa" w:w="7343"/>
            <w:tcMar>
              <w:top w:w="90" w:type="dxa"/>
              <w:start w:w="110" w:type="dxa"/>
              <w:bottom w:w="90" w:type="dxa"/>
              <w:end w:w="110" w:type="dxa"/>
            </w:tcMar>
            <w:vAlign w:val="center"/>
          </w:tcPr>
          <w:p>
            <w:pPr>
              <w:spacing w:after="0" w:line="240" w:lineRule="auto"/>
            </w:pPr>
            <w:r>
              <w:rPr>
                <w:rFonts w:ascii="Aptos" w:hAnsi="Aptos"/>
                <w:sz w:val="18"/>
              </w:rPr>
              <w:t>26 August 2026</w:t>
            </w:r>
          </w:p>
        </w:tc>
      </w:tr>
      <w:tr>
        <w:trPr>
          <w:cantSplit/>
        </w:trPr>
        <w:tc>
          <w:tcPr>
            <w:tcW w:type="dxa" w:w="2376"/>
            <w:shd w:fill="EAF2F6"/>
            <w:tcMar>
              <w:top w:w="90" w:type="dxa"/>
              <w:start w:w="110" w:type="dxa"/>
              <w:bottom w:w="90" w:type="dxa"/>
              <w:end w:w="110" w:type="dxa"/>
            </w:tcMar>
            <w:vAlign w:val="center"/>
          </w:tcPr>
          <w:p>
            <w:pPr>
              <w:spacing w:after="0" w:line="240" w:lineRule="auto"/>
            </w:pPr>
            <w:r>
              <w:rPr>
                <w:rFonts w:ascii="Aptos" w:hAnsi="Aptos"/>
                <w:b/>
                <w:color w:val="15395B"/>
                <w:sz w:val="18"/>
              </w:rPr>
              <w:t>Document status</w:t>
            </w:r>
          </w:p>
        </w:tc>
        <w:tc>
          <w:tcPr>
            <w:tcW w:type="dxa" w:w="7343"/>
            <w:tcMar>
              <w:top w:w="90" w:type="dxa"/>
              <w:start w:w="110" w:type="dxa"/>
              <w:bottom w:w="90" w:type="dxa"/>
              <w:end w:w="110" w:type="dxa"/>
            </w:tcMar>
            <w:vAlign w:val="center"/>
          </w:tcPr>
          <w:p>
            <w:pPr>
              <w:spacing w:after="0" w:line="240" w:lineRule="auto"/>
            </w:pPr>
            <w:r>
              <w:rPr>
                <w:rFonts w:ascii="Aptos" w:hAnsi="Aptos"/>
                <w:sz w:val="18"/>
              </w:rPr>
              <w:t>Approved final version - 26 August 2026</w:t>
            </w:r>
          </w:p>
        </w:tc>
      </w:tr>
    </w:tbl>
    <w:p/>
    <w:tbl>
      <w:tblPr>
        <w:tblW w:type="dxa" w:w="9720"/>
        <w:jc w:val="center"/>
        <w:tblLayout w:type="fixed"/>
        <w:tblLook w:firstColumn="1" w:firstRow="1" w:lastColumn="0" w:lastRow="0" w:noHBand="0" w:noVBand="1" w:val="04A0"/>
      </w:tblPr>
      <w:tblGrid>
        <w:gridCol w:w="9792"/>
      </w:tblGrid>
      <w:tr>
        <w:trPr>
          <w:cantSplit/>
        </w:trPr>
        <w:tc>
          <w:tcPr>
            <w:tcW w:type="dxa" w:w="9720"/>
            <w:shd w:fill="EAF2F6"/>
            <w:tcMar>
              <w:top w:w="150" w:type="dxa"/>
              <w:start w:w="180" w:type="dxa"/>
              <w:bottom w:w="150" w:type="dxa"/>
              <w:end w:w="180" w:type="dxa"/>
            </w:tcMar>
          </w:tcPr>
          <w:p>
            <w:pPr>
              <w:spacing w:after="60"/>
            </w:pPr>
            <w:r>
              <w:rPr>
                <w:b/>
                <w:color w:val="15395B"/>
              </w:rPr>
              <w:t>Net zero commitment</w:t>
            </w:r>
          </w:p>
          <w:p>
            <w:pPr>
              <w:spacing w:after="0"/>
            </w:pPr>
            <w:r>
              <w:t>Phygital Ltd is committed to achieving net zero greenhouse gas emissions from its UK operations by 2050 at the latest.</w:t>
            </w:r>
          </w:p>
        </w:tc>
      </w:tr>
    </w:tbl>
    <w:p>
      <w:pPr>
        <w:pStyle w:val="Heading1"/>
      </w:pPr>
      <w:r>
        <w:t>1. Organisational boundary and methodology</w:t>
      </w:r>
    </w:p>
    <w:p>
      <w:r>
        <w:t>This plan covers Phygital Ltd as the bidding entity and its UK operations. The organisational boundary is based on operational control. The reporting period is the company's first quantified carbon footprint and is therefore used as both the baseline and current reporting year.</w:t>
      </w:r>
    </w:p>
    <w:p>
      <w:r>
        <w:t>Emissions are stated in metric tonnes of carbon dioxide equivalent (tCO2e). Calculations follow the GHG Protocol Corporate Accounting and Reporting Standard, the PPN 006 technical standard and the UK Government GHG Conversion Factors for Company Reporting 2026. Scope 1 and Scope 2 emissions are reported in full. Scope 3 includes the five categories required by PPN 006.</w:t>
      </w:r>
    </w:p>
    <w:p>
      <w:pPr>
        <w:pStyle w:val="Heading1"/>
      </w:pPr>
      <w:r>
        <w:t>2. Baseline emissions footprint</w:t>
      </w:r>
    </w:p>
    <w:p>
      <w:r>
        <w:t>Baseline year: 1 August 2025 to 31 July 2026</w:t>
      </w:r>
    </w:p>
    <w:p>
      <w:r>
        <w:t>Phygital had not previously published a quantified organisational carbon footprint. This first reporting period establishes the baseline against which future reductions will be measured. Where primary activity data was unavailable, reasonable SME-level estimates have been used and disclosed in the methodology notes.</w:t>
      </w:r>
    </w:p>
    <w:tbl>
      <w:tblPr>
        <w:tblStyle w:val="TableGrid"/>
        <w:tblW w:type="dxa" w:w="9720"/>
        <w:jc w:val="center"/>
        <w:tblLayout w:type="fixed"/>
        <w:tblLook w:firstColumn="1" w:firstRow="1" w:lastColumn="0" w:lastRow="0" w:noHBand="0" w:noVBand="1" w:val="04A0"/>
      </w:tblPr>
      <w:tblGrid>
        <w:gridCol w:w="3264"/>
        <w:gridCol w:w="3264"/>
        <w:gridCol w:w="3264"/>
      </w:tblGrid>
      <w:tr>
        <w:trPr>
          <w:tblHeader w:val="true"/>
          <w:cantSplit/>
        </w:trPr>
        <w:tc>
          <w:tcPr>
            <w:tcW w:type="dxa" w:w="1728"/>
            <w:tcMar>
              <w:top w:w="90" w:type="dxa"/>
              <w:start w:w="110" w:type="dxa"/>
              <w:bottom w:w="90" w:type="dxa"/>
              <w:end w:w="110" w:type="dxa"/>
            </w:tcMar>
            <w:vAlign w:val="center"/>
            <w:shd w:fill="15395B"/>
          </w:tcPr>
          <w:p>
            <w:pPr>
              <w:keepNext/>
              <w:spacing w:after="0" w:line="240" w:lineRule="auto"/>
            </w:pPr>
            <w:r>
              <w:rPr>
                <w:rFonts w:ascii="Aptos" w:hAnsi="Aptos"/>
                <w:b/>
                <w:color w:val="FFFFFF"/>
                <w:sz w:val="18"/>
              </w:rPr>
              <w:t>Emissions source</w:t>
            </w:r>
          </w:p>
        </w:tc>
        <w:tc>
          <w:tcPr>
            <w:tcW w:type="dxa" w:w="6840"/>
            <w:tcMar>
              <w:top w:w="90" w:type="dxa"/>
              <w:start w:w="110" w:type="dxa"/>
              <w:bottom w:w="90" w:type="dxa"/>
              <w:end w:w="110" w:type="dxa"/>
            </w:tcMar>
            <w:vAlign w:val="center"/>
            <w:shd w:fill="15395B"/>
          </w:tcPr>
          <w:p>
            <w:pPr>
              <w:keepNext/>
              <w:spacing w:after="0" w:line="240" w:lineRule="auto"/>
            </w:pPr>
            <w:r>
              <w:rPr>
                <w:rFonts w:ascii="Aptos" w:hAnsi="Aptos"/>
                <w:b/>
                <w:color w:val="FFFFFF"/>
                <w:sz w:val="18"/>
              </w:rPr>
              <w:t>Boundary / included activity</w:t>
            </w:r>
          </w:p>
        </w:tc>
        <w:tc>
          <w:tcPr>
            <w:tcW w:type="dxa" w:w="1152"/>
            <w:tcMar>
              <w:top w:w="90" w:type="dxa"/>
              <w:start w:w="110" w:type="dxa"/>
              <w:bottom w:w="90" w:type="dxa"/>
              <w:end w:w="110" w:type="dxa"/>
            </w:tcMar>
            <w:vAlign w:val="center"/>
            <w:shd w:fill="15395B"/>
          </w:tcPr>
          <w:p>
            <w:pPr>
              <w:keepNext/>
              <w:spacing w:after="0" w:line="240" w:lineRule="auto"/>
            </w:pPr>
            <w:r>
              <w:rPr>
                <w:rFonts w:ascii="Aptos" w:hAnsi="Aptos"/>
                <w:b/>
                <w:color w:val="FFFFFF"/>
                <w:sz w:val="18"/>
              </w:rPr>
              <w:t>tCO2e</w:t>
            </w:r>
          </w:p>
        </w:tc>
      </w:tr>
      <w:tr>
        <w:trPr>
          <w:cantSplit/>
        </w:trPr>
        <w:tc>
          <w:tcPr>
            <w:tcW w:type="dxa" w:w="1728"/>
            <w:tcMar>
              <w:top w:w="90" w:type="dxa"/>
              <w:start w:w="110" w:type="dxa"/>
              <w:bottom w:w="90" w:type="dxa"/>
              <w:end w:w="110" w:type="dxa"/>
            </w:tcMar>
            <w:vAlign w:val="center"/>
          </w:tcPr>
          <w:p>
            <w:pPr>
              <w:keepNext/>
              <w:spacing w:after="0" w:line="240" w:lineRule="auto"/>
            </w:pPr>
            <w:r>
              <w:rPr>
                <w:rFonts w:ascii="Aptos" w:hAnsi="Aptos"/>
                <w:sz w:val="18"/>
              </w:rPr>
              <w:t>Scope 1</w:t>
            </w:r>
          </w:p>
        </w:tc>
        <w:tc>
          <w:tcPr>
            <w:tcW w:type="dxa" w:w="6840"/>
            <w:tcMar>
              <w:top w:w="90" w:type="dxa"/>
              <w:start w:w="110" w:type="dxa"/>
              <w:bottom w:w="90" w:type="dxa"/>
              <w:end w:w="110" w:type="dxa"/>
            </w:tcMar>
            <w:vAlign w:val="center"/>
          </w:tcPr>
          <w:p>
            <w:pPr>
              <w:keepNext/>
              <w:spacing w:after="0" w:line="240" w:lineRule="auto"/>
            </w:pPr>
            <w:r>
              <w:rPr>
                <w:rFonts w:ascii="Aptos" w:hAnsi="Aptos"/>
                <w:sz w:val="18"/>
              </w:rPr>
              <w:t>No gas, oil or LPG at the office; company fleet is fully electric.</w:t>
            </w:r>
          </w:p>
        </w:tc>
        <w:tc>
          <w:tcPr>
            <w:tcW w:type="dxa" w:w="1152"/>
            <w:tcMar>
              <w:top w:w="90" w:type="dxa"/>
              <w:start w:w="110" w:type="dxa"/>
              <w:bottom w:w="90" w:type="dxa"/>
              <w:end w:w="110" w:type="dxa"/>
            </w:tcMar>
            <w:vAlign w:val="center"/>
          </w:tcPr>
          <w:p>
            <w:pPr>
              <w:keepNext/>
              <w:spacing w:after="0" w:line="240" w:lineRule="auto"/>
            </w:pPr>
            <w:r>
              <w:rPr>
                <w:rFonts w:ascii="Aptos" w:hAnsi="Aptos"/>
                <w:sz w:val="18"/>
              </w:rPr>
              <w:t>0.000</w:t>
            </w:r>
          </w:p>
        </w:tc>
      </w:tr>
      <w:tr>
        <w:trPr>
          <w:cantSplit/>
        </w:trPr>
        <w:tc>
          <w:tcPr>
            <w:tcW w:type="dxa" w:w="1728"/>
            <w:tcMar>
              <w:top w:w="90" w:type="dxa"/>
              <w:start w:w="110" w:type="dxa"/>
              <w:bottom w:w="90" w:type="dxa"/>
              <w:end w:w="110" w:type="dxa"/>
            </w:tcMar>
            <w:vAlign w:val="center"/>
          </w:tcPr>
          <w:p>
            <w:pPr>
              <w:keepNext/>
              <w:spacing w:after="0" w:line="240" w:lineRule="auto"/>
            </w:pPr>
            <w:r>
              <w:rPr>
                <w:rFonts w:ascii="Aptos" w:hAnsi="Aptos"/>
                <w:sz w:val="18"/>
              </w:rPr>
              <w:t>Scope 2</w:t>
            </w:r>
          </w:p>
        </w:tc>
        <w:tc>
          <w:tcPr>
            <w:tcW w:type="dxa" w:w="6840"/>
            <w:tcMar>
              <w:top w:w="90" w:type="dxa"/>
              <w:start w:w="110" w:type="dxa"/>
              <w:bottom w:w="90" w:type="dxa"/>
              <w:end w:w="110" w:type="dxa"/>
            </w:tcMar>
            <w:vAlign w:val="center"/>
          </w:tcPr>
          <w:p>
            <w:pPr>
              <w:keepNext/>
              <w:spacing w:after="0" w:line="240" w:lineRule="auto"/>
            </w:pPr>
            <w:r>
              <w:rPr>
                <w:rFonts w:ascii="Aptos" w:hAnsi="Aptos"/>
                <w:sz w:val="18"/>
              </w:rPr>
              <w:t>Purchased electricity for the all-electric office and estimated charging electricity for four company-owned battery-electric vehicles.</w:t>
            </w:r>
          </w:p>
        </w:tc>
        <w:tc>
          <w:tcPr>
            <w:tcW w:type="dxa" w:w="1152"/>
            <w:tcMar>
              <w:top w:w="90" w:type="dxa"/>
              <w:start w:w="110" w:type="dxa"/>
              <w:bottom w:w="90" w:type="dxa"/>
              <w:end w:w="110" w:type="dxa"/>
            </w:tcMar>
            <w:vAlign w:val="center"/>
          </w:tcPr>
          <w:p>
            <w:pPr>
              <w:keepNext/>
              <w:spacing w:after="0" w:line="240" w:lineRule="auto"/>
            </w:pPr>
            <w:r>
              <w:rPr>
                <w:rFonts w:ascii="Aptos" w:hAnsi="Aptos"/>
                <w:sz w:val="18"/>
              </w:rPr>
              <w:t>1.990</w:t>
            </w:r>
          </w:p>
        </w:tc>
      </w:tr>
      <w:tr>
        <w:trPr>
          <w:cantSplit/>
        </w:trPr>
        <w:tc>
          <w:tcPr>
            <w:tcW w:type="dxa" w:w="1728"/>
            <w:tcMar>
              <w:top w:w="90" w:type="dxa"/>
              <w:start w:w="110" w:type="dxa"/>
              <w:bottom w:w="90" w:type="dxa"/>
              <w:end w:w="110" w:type="dxa"/>
            </w:tcMar>
            <w:vAlign w:val="center"/>
          </w:tcPr>
          <w:p>
            <w:pPr>
              <w:keepNext/>
              <w:spacing w:after="0" w:line="240" w:lineRule="auto"/>
            </w:pPr>
            <w:r>
              <w:rPr>
                <w:rFonts w:ascii="Aptos" w:hAnsi="Aptos"/>
                <w:sz w:val="18"/>
              </w:rPr>
              <w:t>Scope 3</w:t>
            </w:r>
          </w:p>
        </w:tc>
        <w:tc>
          <w:tcPr>
            <w:tcW w:type="dxa" w:w="6840"/>
            <w:tcMar>
              <w:top w:w="90" w:type="dxa"/>
              <w:start w:w="110" w:type="dxa"/>
              <w:bottom w:w="90" w:type="dxa"/>
              <w:end w:w="110" w:type="dxa"/>
            </w:tcMar>
            <w:vAlign w:val="center"/>
          </w:tcPr>
          <w:p>
            <w:pPr>
              <w:keepNext/>
              <w:spacing w:after="0" w:line="240" w:lineRule="auto"/>
            </w:pPr>
            <w:r>
              <w:rPr>
                <w:rFonts w:ascii="Aptos" w:hAnsi="Aptos"/>
                <w:sz w:val="18"/>
              </w:rPr>
              <w:t>Required PPN 006 categories 4, 5, 6, 7 and 9.</w:t>
            </w:r>
          </w:p>
        </w:tc>
        <w:tc>
          <w:tcPr>
            <w:tcW w:type="dxa" w:w="1152"/>
            <w:tcMar>
              <w:top w:w="90" w:type="dxa"/>
              <w:start w:w="110" w:type="dxa"/>
              <w:bottom w:w="90" w:type="dxa"/>
              <w:end w:w="110" w:type="dxa"/>
            </w:tcMar>
            <w:vAlign w:val="center"/>
          </w:tcPr>
          <w:p>
            <w:pPr>
              <w:keepNext/>
              <w:spacing w:after="0" w:line="240" w:lineRule="auto"/>
            </w:pPr>
            <w:r>
              <w:rPr>
                <w:rFonts w:ascii="Aptos" w:hAnsi="Aptos"/>
                <w:sz w:val="18"/>
              </w:rPr>
              <w:t>7.766</w:t>
            </w:r>
          </w:p>
        </w:tc>
      </w:tr>
      <w:tr>
        <w:trPr>
          <w:cantSplit/>
        </w:trPr>
        <w:tc>
          <w:tcPr>
            <w:tcW w:type="dxa" w:w="1728"/>
            <w:tcMar>
              <w:top w:w="90" w:type="dxa"/>
              <w:start w:w="110" w:type="dxa"/>
              <w:bottom w:w="90" w:type="dxa"/>
              <w:end w:w="110" w:type="dxa"/>
            </w:tcMar>
            <w:vAlign w:val="center"/>
            <w:shd w:fill="EAF2F6"/>
          </w:tcPr>
          <w:p>
            <w:pPr>
              <w:spacing w:after="0" w:line="240" w:lineRule="auto"/>
            </w:pPr>
            <w:r>
              <w:rPr>
                <w:rFonts w:ascii="Aptos" w:hAnsi="Aptos"/>
                <w:b/>
                <w:sz w:val="18"/>
              </w:rPr>
              <w:t>Total</w:t>
            </w:r>
          </w:p>
        </w:tc>
        <w:tc>
          <w:tcPr>
            <w:tcW w:type="dxa" w:w="6840"/>
            <w:tcMar>
              <w:top w:w="90" w:type="dxa"/>
              <w:start w:w="110" w:type="dxa"/>
              <w:bottom w:w="90" w:type="dxa"/>
              <w:end w:w="110" w:type="dxa"/>
            </w:tcMar>
            <w:vAlign w:val="center"/>
            <w:shd w:fill="EAF2F6"/>
          </w:tcPr>
          <w:p>
            <w:pPr>
              <w:spacing w:after="0" w:line="240" w:lineRule="auto"/>
            </w:pPr>
            <w:r>
              <w:rPr>
                <w:rFonts w:ascii="Aptos" w:hAnsi="Aptos"/>
                <w:b/>
                <w:sz w:val="18"/>
              </w:rPr>
              <w:t>Total organisational emissions within the stated boundary.</w:t>
            </w:r>
          </w:p>
        </w:tc>
        <w:tc>
          <w:tcPr>
            <w:tcW w:type="dxa" w:w="1152"/>
            <w:tcMar>
              <w:top w:w="90" w:type="dxa"/>
              <w:start w:w="110" w:type="dxa"/>
              <w:bottom w:w="90" w:type="dxa"/>
              <w:end w:w="110" w:type="dxa"/>
            </w:tcMar>
            <w:vAlign w:val="center"/>
            <w:shd w:fill="EAF2F6"/>
          </w:tcPr>
          <w:p>
            <w:pPr>
              <w:spacing w:after="0" w:line="240" w:lineRule="auto"/>
            </w:pPr>
            <w:r>
              <w:rPr>
                <w:rFonts w:ascii="Aptos" w:hAnsi="Aptos"/>
                <w:b/>
                <w:sz w:val="18"/>
              </w:rPr>
              <w:t>9.756</w:t>
            </w:r>
          </w:p>
        </w:tc>
      </w:tr>
    </w:tbl>
    <w:p>
      <w:pPr>
        <w:pStyle w:val="Heading2"/>
      </w:pPr>
      <w:r>
        <w:t>Scope 3 included sources</w:t>
      </w:r>
    </w:p>
    <w:tbl>
      <w:tblPr>
        <w:tblStyle w:val="TableGrid"/>
        <w:tblW w:type="dxa" w:w="9720"/>
        <w:jc w:val="center"/>
        <w:tblLayout w:type="fixed"/>
        <w:tblLook w:firstColumn="1" w:firstRow="1" w:lastColumn="0" w:lastRow="0" w:noHBand="0" w:noVBand="1" w:val="04A0"/>
      </w:tblPr>
      <w:tblGrid>
        <w:gridCol w:w="3264"/>
        <w:gridCol w:w="3264"/>
        <w:gridCol w:w="3264"/>
      </w:tblGrid>
      <w:tr>
        <w:trPr>
          <w:tblHeader w:val="true"/>
          <w:cantSplit/>
        </w:trPr>
        <w:tc>
          <w:tcPr>
            <w:tcW w:type="dxa" w:w="3240"/>
            <w:tcMar>
              <w:top w:w="90" w:type="dxa"/>
              <w:start w:w="110" w:type="dxa"/>
              <w:bottom w:w="90" w:type="dxa"/>
              <w:end w:w="110" w:type="dxa"/>
            </w:tcMar>
            <w:vAlign w:val="center"/>
            <w:shd w:fill="15395B"/>
          </w:tcPr>
          <w:p>
            <w:pPr>
              <w:spacing w:after="0" w:line="240" w:lineRule="auto"/>
            </w:pPr>
            <w:r>
              <w:rPr>
                <w:rFonts w:ascii="Aptos" w:hAnsi="Aptos"/>
                <w:b/>
                <w:color w:val="FFFFFF"/>
                <w:sz w:val="18"/>
              </w:rPr>
              <w:t>PPN 006 category</w:t>
            </w:r>
          </w:p>
        </w:tc>
        <w:tc>
          <w:tcPr>
            <w:tcW w:type="dxa" w:w="5328"/>
            <w:tcMar>
              <w:top w:w="90" w:type="dxa"/>
              <w:start w:w="110" w:type="dxa"/>
              <w:bottom w:w="90" w:type="dxa"/>
              <w:end w:w="110" w:type="dxa"/>
            </w:tcMar>
            <w:vAlign w:val="center"/>
            <w:shd w:fill="15395B"/>
          </w:tcPr>
          <w:p>
            <w:pPr>
              <w:spacing w:after="0" w:line="240" w:lineRule="auto"/>
            </w:pPr>
            <w:r>
              <w:rPr>
                <w:rFonts w:ascii="Aptos" w:hAnsi="Aptos"/>
                <w:b/>
                <w:color w:val="FFFFFF"/>
                <w:sz w:val="18"/>
              </w:rPr>
              <w:t>Basis</w:t>
            </w:r>
          </w:p>
        </w:tc>
        <w:tc>
          <w:tcPr>
            <w:tcW w:type="dxa" w:w="1152"/>
            <w:tcMar>
              <w:top w:w="90" w:type="dxa"/>
              <w:start w:w="110" w:type="dxa"/>
              <w:bottom w:w="90" w:type="dxa"/>
              <w:end w:w="110" w:type="dxa"/>
            </w:tcMar>
            <w:vAlign w:val="center"/>
            <w:shd w:fill="15395B"/>
          </w:tcPr>
          <w:p>
            <w:pPr>
              <w:spacing w:after="0" w:line="240" w:lineRule="auto"/>
            </w:pPr>
            <w:r>
              <w:rPr>
                <w:rFonts w:ascii="Aptos" w:hAnsi="Aptos"/>
                <w:b/>
                <w:color w:val="FFFFFF"/>
                <w:sz w:val="18"/>
              </w:rPr>
              <w:t>tCO2e</w:t>
            </w:r>
          </w:p>
        </w:tc>
      </w:tr>
      <w:tr>
        <w:trPr>
          <w:cantSplit/>
        </w:trPr>
        <w:tc>
          <w:tcPr>
            <w:tcW w:type="dxa" w:w="3240"/>
            <w:tcMar>
              <w:top w:w="90" w:type="dxa"/>
              <w:start w:w="110" w:type="dxa"/>
              <w:bottom w:w="90" w:type="dxa"/>
              <w:end w:w="110" w:type="dxa"/>
            </w:tcMar>
            <w:vAlign w:val="center"/>
          </w:tcPr>
          <w:p>
            <w:pPr>
              <w:spacing w:after="0" w:line="240" w:lineRule="auto"/>
            </w:pPr>
            <w:r>
              <w:rPr>
                <w:rFonts w:ascii="Aptos" w:hAnsi="Aptos"/>
                <w:sz w:val="18"/>
              </w:rPr>
              <w:t>4. Upstream transportation and distribution</w:t>
            </w:r>
          </w:p>
        </w:tc>
        <w:tc>
          <w:tcPr>
            <w:tcW w:type="dxa" w:w="5328"/>
            <w:tcMar>
              <w:top w:w="90" w:type="dxa"/>
              <w:start w:w="110" w:type="dxa"/>
              <w:bottom w:w="90" w:type="dxa"/>
              <w:end w:w="110" w:type="dxa"/>
            </w:tcMar>
            <w:vAlign w:val="center"/>
          </w:tcPr>
          <w:p>
            <w:pPr>
              <w:spacing w:after="0" w:line="240" w:lineRule="auto"/>
            </w:pPr>
            <w:r>
              <w:rPr>
                <w:rFonts w:ascii="Aptos" w:hAnsi="Aptos"/>
                <w:sz w:val="18"/>
              </w:rPr>
              <w:t>Rare inbound courier activity; 6 small consignments estimated.</w:t>
            </w:r>
          </w:p>
        </w:tc>
        <w:tc>
          <w:tcPr>
            <w:tcW w:type="dxa" w:w="1152"/>
            <w:tcMar>
              <w:top w:w="90" w:type="dxa"/>
              <w:start w:w="110" w:type="dxa"/>
              <w:bottom w:w="90" w:type="dxa"/>
              <w:end w:w="110" w:type="dxa"/>
            </w:tcMar>
            <w:vAlign w:val="center"/>
          </w:tcPr>
          <w:p>
            <w:pPr>
              <w:spacing w:after="0" w:line="240" w:lineRule="auto"/>
            </w:pPr>
            <w:r>
              <w:rPr>
                <w:rFonts w:ascii="Aptos" w:hAnsi="Aptos"/>
                <w:sz w:val="18"/>
              </w:rPr>
              <w:t>0.003</w:t>
            </w:r>
          </w:p>
        </w:tc>
      </w:tr>
      <w:tr>
        <w:trPr>
          <w:cantSplit/>
        </w:trPr>
        <w:tc>
          <w:tcPr>
            <w:tcW w:type="dxa" w:w="3240"/>
            <w:tcMar>
              <w:top w:w="90" w:type="dxa"/>
              <w:start w:w="110" w:type="dxa"/>
              <w:bottom w:w="90" w:type="dxa"/>
              <w:end w:w="110" w:type="dxa"/>
            </w:tcMar>
            <w:vAlign w:val="center"/>
          </w:tcPr>
          <w:p>
            <w:pPr>
              <w:spacing w:after="0" w:line="240" w:lineRule="auto"/>
            </w:pPr>
            <w:r>
              <w:rPr>
                <w:rFonts w:ascii="Aptos" w:hAnsi="Aptos"/>
                <w:sz w:val="18"/>
              </w:rPr>
              <w:t>5. Waste generated in operations</w:t>
            </w:r>
          </w:p>
        </w:tc>
        <w:tc>
          <w:tcPr>
            <w:tcW w:type="dxa" w:w="5328"/>
            <w:tcMar>
              <w:top w:w="90" w:type="dxa"/>
              <w:start w:w="110" w:type="dxa"/>
              <w:bottom w:w="90" w:type="dxa"/>
              <w:end w:w="110" w:type="dxa"/>
            </w:tcMar>
            <w:vAlign w:val="center"/>
          </w:tcPr>
          <w:p>
            <w:pPr>
              <w:spacing w:after="0" w:line="240" w:lineRule="auto"/>
            </w:pPr>
            <w:r>
              <w:rPr>
                <w:rFonts w:ascii="Aptos" w:hAnsi="Aptos"/>
                <w:sz w:val="18"/>
              </w:rPr>
              <w:t>One 1,100-litre mixed-waste bin, 75% full, collected weekly; conservative landfill assumption.</w:t>
            </w:r>
          </w:p>
        </w:tc>
        <w:tc>
          <w:tcPr>
            <w:tcW w:type="dxa" w:w="1152"/>
            <w:tcMar>
              <w:top w:w="90" w:type="dxa"/>
              <w:start w:w="110" w:type="dxa"/>
              <w:bottom w:w="90" w:type="dxa"/>
              <w:end w:w="110" w:type="dxa"/>
            </w:tcMar>
            <w:vAlign w:val="center"/>
          </w:tcPr>
          <w:p>
            <w:pPr>
              <w:spacing w:after="0" w:line="240" w:lineRule="auto"/>
            </w:pPr>
            <w:r>
              <w:rPr>
                <w:rFonts w:ascii="Aptos" w:hAnsi="Aptos"/>
                <w:sz w:val="18"/>
              </w:rPr>
              <w:t>2.233</w:t>
            </w:r>
          </w:p>
        </w:tc>
      </w:tr>
      <w:tr>
        <w:trPr>
          <w:cantSplit/>
        </w:trPr>
        <w:tc>
          <w:tcPr>
            <w:tcW w:type="dxa" w:w="3240"/>
            <w:tcMar>
              <w:top w:w="90" w:type="dxa"/>
              <w:start w:w="110" w:type="dxa"/>
              <w:bottom w:w="90" w:type="dxa"/>
              <w:end w:w="110" w:type="dxa"/>
            </w:tcMar>
            <w:vAlign w:val="center"/>
          </w:tcPr>
          <w:p>
            <w:pPr>
              <w:spacing w:after="0" w:line="240" w:lineRule="auto"/>
            </w:pPr>
            <w:r>
              <w:rPr>
                <w:rFonts w:ascii="Aptos" w:hAnsi="Aptos"/>
                <w:sz w:val="18"/>
              </w:rPr>
              <w:t>6. Business travel</w:t>
            </w:r>
          </w:p>
        </w:tc>
        <w:tc>
          <w:tcPr>
            <w:tcW w:type="dxa" w:w="5328"/>
            <w:tcMar>
              <w:top w:w="90" w:type="dxa"/>
              <w:start w:w="110" w:type="dxa"/>
              <w:bottom w:w="90" w:type="dxa"/>
              <w:end w:w="110" w:type="dxa"/>
            </w:tcMar>
            <w:vAlign w:val="center"/>
          </w:tcPr>
          <w:p>
            <w:pPr>
              <w:spacing w:after="0" w:line="240" w:lineRule="auto"/>
            </w:pPr>
            <w:r>
              <w:rPr>
                <w:rFonts w:ascii="Aptos" w:hAnsi="Aptos"/>
                <w:sz w:val="18"/>
              </w:rPr>
              <w:t>Estimated flights, rail, taxis, hire-car fuel and 10 UK hotel nights.</w:t>
            </w:r>
          </w:p>
        </w:tc>
        <w:tc>
          <w:tcPr>
            <w:tcW w:type="dxa" w:w="1152"/>
            <w:tcMar>
              <w:top w:w="90" w:type="dxa"/>
              <w:start w:w="110" w:type="dxa"/>
              <w:bottom w:w="90" w:type="dxa"/>
              <w:end w:w="110" w:type="dxa"/>
            </w:tcMar>
            <w:vAlign w:val="center"/>
          </w:tcPr>
          <w:p>
            <w:pPr>
              <w:spacing w:after="0" w:line="240" w:lineRule="auto"/>
            </w:pPr>
            <w:r>
              <w:rPr>
                <w:rFonts w:ascii="Aptos" w:hAnsi="Aptos"/>
                <w:sz w:val="18"/>
              </w:rPr>
              <w:t>5.252</w:t>
            </w:r>
          </w:p>
        </w:tc>
      </w:tr>
      <w:tr>
        <w:trPr>
          <w:cantSplit/>
        </w:trPr>
        <w:tc>
          <w:tcPr>
            <w:tcW w:type="dxa" w:w="3240"/>
            <w:tcMar>
              <w:top w:w="90" w:type="dxa"/>
              <w:start w:w="110" w:type="dxa"/>
              <w:bottom w:w="90" w:type="dxa"/>
              <w:end w:w="110" w:type="dxa"/>
            </w:tcMar>
            <w:vAlign w:val="center"/>
          </w:tcPr>
          <w:p>
            <w:pPr>
              <w:spacing w:after="0" w:line="240" w:lineRule="auto"/>
            </w:pPr>
            <w:r>
              <w:rPr>
                <w:rFonts w:ascii="Aptos" w:hAnsi="Aptos"/>
                <w:sz w:val="18"/>
              </w:rPr>
              <w:t>7. Employee commuting</w:t>
            </w:r>
          </w:p>
        </w:tc>
        <w:tc>
          <w:tcPr>
            <w:tcW w:type="dxa" w:w="5328"/>
            <w:tcMar>
              <w:top w:w="90" w:type="dxa"/>
              <w:start w:w="110" w:type="dxa"/>
              <w:bottom w:w="90" w:type="dxa"/>
              <w:end w:w="110" w:type="dxa"/>
            </w:tcMar>
            <w:vAlign w:val="center"/>
          </w:tcPr>
          <w:p>
            <w:pPr>
              <w:spacing w:after="0" w:line="240" w:lineRule="auto"/>
            </w:pPr>
            <w:r>
              <w:rPr>
                <w:rFonts w:ascii="Aptos" w:hAnsi="Aptos"/>
                <w:sz w:val="18"/>
              </w:rPr>
              <w:t>One rail commuter; walking and remote work are zero. Car-share travel is already represented within company EV electricity.</w:t>
            </w:r>
          </w:p>
        </w:tc>
        <w:tc>
          <w:tcPr>
            <w:tcW w:type="dxa" w:w="1152"/>
            <w:tcMar>
              <w:top w:w="90" w:type="dxa"/>
              <w:start w:w="110" w:type="dxa"/>
              <w:bottom w:w="90" w:type="dxa"/>
              <w:end w:w="110" w:type="dxa"/>
            </w:tcMar>
            <w:vAlign w:val="center"/>
          </w:tcPr>
          <w:p>
            <w:pPr>
              <w:spacing w:after="0" w:line="240" w:lineRule="auto"/>
            </w:pPr>
            <w:r>
              <w:rPr>
                <w:rFonts w:ascii="Aptos" w:hAnsi="Aptos"/>
                <w:sz w:val="18"/>
              </w:rPr>
              <w:t>0.275</w:t>
            </w:r>
          </w:p>
        </w:tc>
      </w:tr>
      <w:tr>
        <w:trPr>
          <w:cantSplit/>
        </w:trPr>
        <w:tc>
          <w:tcPr>
            <w:tcW w:type="dxa" w:w="3240"/>
            <w:tcMar>
              <w:top w:w="90" w:type="dxa"/>
              <w:start w:w="110" w:type="dxa"/>
              <w:bottom w:w="90" w:type="dxa"/>
              <w:end w:w="110" w:type="dxa"/>
            </w:tcMar>
            <w:vAlign w:val="center"/>
          </w:tcPr>
          <w:p>
            <w:pPr>
              <w:spacing w:after="0" w:line="240" w:lineRule="auto"/>
            </w:pPr>
            <w:r>
              <w:rPr>
                <w:rFonts w:ascii="Aptos" w:hAnsi="Aptos"/>
                <w:sz w:val="18"/>
              </w:rPr>
              <w:t>9. Downstream transportation and distribution</w:t>
            </w:r>
          </w:p>
        </w:tc>
        <w:tc>
          <w:tcPr>
            <w:tcW w:type="dxa" w:w="5328"/>
            <w:tcMar>
              <w:top w:w="90" w:type="dxa"/>
              <w:start w:w="110" w:type="dxa"/>
              <w:bottom w:w="90" w:type="dxa"/>
              <w:end w:w="110" w:type="dxa"/>
            </w:tcMar>
            <w:vAlign w:val="center"/>
          </w:tcPr>
          <w:p>
            <w:pPr>
              <w:spacing w:after="0" w:line="240" w:lineRule="auto"/>
            </w:pPr>
            <w:r>
              <w:rPr>
                <w:rFonts w:ascii="Aptos" w:hAnsi="Aptos"/>
                <w:sz w:val="18"/>
              </w:rPr>
              <w:t>Rare outbound courier activity; 6 small consignments estimated.</w:t>
            </w:r>
          </w:p>
        </w:tc>
        <w:tc>
          <w:tcPr>
            <w:tcW w:type="dxa" w:w="1152"/>
            <w:tcMar>
              <w:top w:w="90" w:type="dxa"/>
              <w:start w:w="110" w:type="dxa"/>
              <w:bottom w:w="90" w:type="dxa"/>
              <w:end w:w="110" w:type="dxa"/>
            </w:tcMar>
            <w:vAlign w:val="center"/>
          </w:tcPr>
          <w:p>
            <w:pPr>
              <w:spacing w:after="0" w:line="240" w:lineRule="auto"/>
            </w:pPr>
            <w:r>
              <w:rPr>
                <w:rFonts w:ascii="Aptos" w:hAnsi="Aptos"/>
                <w:sz w:val="18"/>
              </w:rPr>
              <w:t>0.003</w:t>
            </w:r>
          </w:p>
        </w:tc>
      </w:tr>
      <w:tr>
        <w:trPr>
          <w:cantSplit/>
        </w:trPr>
        <w:tc>
          <w:tcPr>
            <w:tcW w:type="dxa" w:w="3240"/>
            <w:tcMar>
              <w:top w:w="90" w:type="dxa"/>
              <w:start w:w="110" w:type="dxa"/>
              <w:bottom w:w="90" w:type="dxa"/>
              <w:end w:w="110" w:type="dxa"/>
            </w:tcMar>
            <w:vAlign w:val="center"/>
            <w:shd w:fill="EAF2F6"/>
          </w:tcPr>
          <w:p>
            <w:pPr>
              <w:spacing w:after="0" w:line="240" w:lineRule="auto"/>
            </w:pPr>
            <w:r>
              <w:rPr>
                <w:rFonts w:ascii="Aptos" w:hAnsi="Aptos"/>
                <w:b/>
                <w:sz w:val="18"/>
              </w:rPr>
              <w:t>Total Scope 3</w:t>
            </w:r>
          </w:p>
        </w:tc>
        <w:tc>
          <w:tcPr>
            <w:tcW w:type="dxa" w:w="5328"/>
            <w:tcMar>
              <w:top w:w="90" w:type="dxa"/>
              <w:start w:w="110" w:type="dxa"/>
              <w:bottom w:w="90" w:type="dxa"/>
              <w:end w:w="110" w:type="dxa"/>
            </w:tcMar>
            <w:vAlign w:val="center"/>
            <w:shd w:fill="EAF2F6"/>
          </w:tcPr>
          <w:p>
            <w:pPr>
              <w:spacing w:after="0" w:line="240" w:lineRule="auto"/>
            </w:pPr>
            <w:r>
              <w:rPr>
                <w:rFonts w:ascii="Aptos" w:hAnsi="Aptos"/>
                <w:b/>
                <w:sz w:val="18"/>
              </w:rPr>
            </w:r>
          </w:p>
        </w:tc>
        <w:tc>
          <w:tcPr>
            <w:tcW w:type="dxa" w:w="1152"/>
            <w:tcMar>
              <w:top w:w="90" w:type="dxa"/>
              <w:start w:w="110" w:type="dxa"/>
              <w:bottom w:w="90" w:type="dxa"/>
              <w:end w:w="110" w:type="dxa"/>
            </w:tcMar>
            <w:vAlign w:val="center"/>
            <w:shd w:fill="EAF2F6"/>
          </w:tcPr>
          <w:p>
            <w:pPr>
              <w:spacing w:after="0" w:line="240" w:lineRule="auto"/>
            </w:pPr>
            <w:r>
              <w:rPr>
                <w:rFonts w:ascii="Aptos" w:hAnsi="Aptos"/>
                <w:b/>
                <w:sz w:val="18"/>
              </w:rPr>
              <w:t>7.766</w:t>
            </w:r>
          </w:p>
        </w:tc>
      </w:tr>
    </w:tbl>
    <w:p>
      <w:pPr>
        <w:pStyle w:val="Heading1"/>
      </w:pPr>
      <w:r>
        <w:t>3. Current emissions reporting</w:t>
      </w:r>
    </w:p>
    <w:p>
      <w:r>
        <w:t>Reporting year: 1 August 2025 to 31 July 2026. As this is Phygital's first carbon footprint, the current reporting year is the same as the baseline year. The figures below repeat the baseline for template compliance and must not be added to it.</w:t>
      </w:r>
    </w:p>
    <w:tbl>
      <w:tblPr>
        <w:tblStyle w:val="TableGrid"/>
        <w:tblW w:type="dxa" w:w="9720"/>
        <w:jc w:val="center"/>
        <w:tblLayout w:type="fixed"/>
        <w:tblLook w:firstColumn="1" w:firstRow="1" w:lastColumn="0" w:lastRow="0" w:noHBand="0" w:noVBand="1" w:val="04A0"/>
      </w:tblPr>
      <w:tblGrid>
        <w:gridCol w:w="4896"/>
        <w:gridCol w:w="4896"/>
      </w:tblGrid>
      <w:tr>
        <w:trPr>
          <w:tblHeader w:val="true"/>
          <w:cantSplit/>
        </w:trPr>
        <w:tc>
          <w:tcPr>
            <w:tcW w:type="dxa" w:w="8136"/>
            <w:tcMar>
              <w:top w:w="90" w:type="dxa"/>
              <w:start w:w="110" w:type="dxa"/>
              <w:bottom w:w="90" w:type="dxa"/>
              <w:end w:w="110" w:type="dxa"/>
            </w:tcMar>
            <w:vAlign w:val="center"/>
            <w:shd w:fill="15395B"/>
          </w:tcPr>
          <w:p>
            <w:pPr>
              <w:spacing w:after="0" w:line="240" w:lineRule="auto"/>
            </w:pPr>
            <w:r>
              <w:rPr>
                <w:rFonts w:ascii="Aptos" w:hAnsi="Aptos"/>
                <w:b/>
                <w:color w:val="FFFFFF"/>
                <w:sz w:val="18"/>
              </w:rPr>
              <w:t>Emissions</w:t>
            </w:r>
          </w:p>
        </w:tc>
        <w:tc>
          <w:tcPr>
            <w:tcW w:type="dxa" w:w="1584"/>
            <w:tcMar>
              <w:top w:w="90" w:type="dxa"/>
              <w:start w:w="110" w:type="dxa"/>
              <w:bottom w:w="90" w:type="dxa"/>
              <w:end w:w="110" w:type="dxa"/>
            </w:tcMar>
            <w:vAlign w:val="center"/>
            <w:shd w:fill="15395B"/>
          </w:tcPr>
          <w:p>
            <w:pPr>
              <w:spacing w:after="0" w:line="240" w:lineRule="auto"/>
            </w:pPr>
            <w:r>
              <w:rPr>
                <w:rFonts w:ascii="Aptos" w:hAnsi="Aptos"/>
                <w:b/>
                <w:color w:val="FFFFFF"/>
                <w:sz w:val="18"/>
              </w:rPr>
              <w:t>Total (tCO2e)</w:t>
            </w:r>
          </w:p>
        </w:tc>
      </w:tr>
      <w:tr>
        <w:trPr>
          <w:cantSplit/>
        </w:trPr>
        <w:tc>
          <w:tcPr>
            <w:tcW w:type="dxa" w:w="8136"/>
            <w:tcMar>
              <w:top w:w="90" w:type="dxa"/>
              <w:start w:w="110" w:type="dxa"/>
              <w:bottom w:w="90" w:type="dxa"/>
              <w:end w:w="110" w:type="dxa"/>
            </w:tcMar>
            <w:vAlign w:val="center"/>
          </w:tcPr>
          <w:p>
            <w:pPr>
              <w:spacing w:after="0" w:line="240" w:lineRule="auto"/>
            </w:pPr>
            <w:r>
              <w:rPr>
                <w:rFonts w:ascii="Aptos" w:hAnsi="Aptos"/>
                <w:sz w:val="18"/>
              </w:rPr>
              <w:t>Scope 1</w:t>
            </w:r>
          </w:p>
        </w:tc>
        <w:tc>
          <w:tcPr>
            <w:tcW w:type="dxa" w:w="1584"/>
            <w:tcMar>
              <w:top w:w="90" w:type="dxa"/>
              <w:start w:w="110" w:type="dxa"/>
              <w:bottom w:w="90" w:type="dxa"/>
              <w:end w:w="110" w:type="dxa"/>
            </w:tcMar>
            <w:vAlign w:val="center"/>
          </w:tcPr>
          <w:p>
            <w:pPr>
              <w:spacing w:after="0" w:line="240" w:lineRule="auto"/>
            </w:pPr>
            <w:r>
              <w:rPr>
                <w:rFonts w:ascii="Aptos" w:hAnsi="Aptos"/>
                <w:sz w:val="18"/>
              </w:rPr>
              <w:t>0.000</w:t>
            </w:r>
          </w:p>
        </w:tc>
      </w:tr>
      <w:tr>
        <w:trPr>
          <w:cantSplit/>
        </w:trPr>
        <w:tc>
          <w:tcPr>
            <w:tcW w:type="dxa" w:w="8136"/>
            <w:tcMar>
              <w:top w:w="90" w:type="dxa"/>
              <w:start w:w="110" w:type="dxa"/>
              <w:bottom w:w="90" w:type="dxa"/>
              <w:end w:w="110" w:type="dxa"/>
            </w:tcMar>
            <w:vAlign w:val="center"/>
          </w:tcPr>
          <w:p>
            <w:pPr>
              <w:spacing w:after="0" w:line="240" w:lineRule="auto"/>
            </w:pPr>
            <w:r>
              <w:rPr>
                <w:rFonts w:ascii="Aptos" w:hAnsi="Aptos"/>
                <w:sz w:val="18"/>
              </w:rPr>
              <w:t>Scope 2</w:t>
            </w:r>
          </w:p>
        </w:tc>
        <w:tc>
          <w:tcPr>
            <w:tcW w:type="dxa" w:w="1584"/>
            <w:tcMar>
              <w:top w:w="90" w:type="dxa"/>
              <w:start w:w="110" w:type="dxa"/>
              <w:bottom w:w="90" w:type="dxa"/>
              <w:end w:w="110" w:type="dxa"/>
            </w:tcMar>
            <w:vAlign w:val="center"/>
          </w:tcPr>
          <w:p>
            <w:pPr>
              <w:spacing w:after="0" w:line="240" w:lineRule="auto"/>
            </w:pPr>
            <w:r>
              <w:rPr>
                <w:rFonts w:ascii="Aptos" w:hAnsi="Aptos"/>
                <w:sz w:val="18"/>
              </w:rPr>
              <w:t>1.990</w:t>
            </w:r>
          </w:p>
        </w:tc>
      </w:tr>
      <w:tr>
        <w:trPr>
          <w:cantSplit/>
        </w:trPr>
        <w:tc>
          <w:tcPr>
            <w:tcW w:type="dxa" w:w="8136"/>
            <w:tcMar>
              <w:top w:w="90" w:type="dxa"/>
              <w:start w:w="110" w:type="dxa"/>
              <w:bottom w:w="90" w:type="dxa"/>
              <w:end w:w="110" w:type="dxa"/>
            </w:tcMar>
            <w:vAlign w:val="center"/>
          </w:tcPr>
          <w:p>
            <w:pPr>
              <w:spacing w:after="0" w:line="240" w:lineRule="auto"/>
            </w:pPr>
            <w:r>
              <w:rPr>
                <w:rFonts w:ascii="Aptos" w:hAnsi="Aptos"/>
                <w:sz w:val="18"/>
              </w:rPr>
              <w:t>Scope 3 (included sources)</w:t>
            </w:r>
          </w:p>
        </w:tc>
        <w:tc>
          <w:tcPr>
            <w:tcW w:type="dxa" w:w="1584"/>
            <w:tcMar>
              <w:top w:w="90" w:type="dxa"/>
              <w:start w:w="110" w:type="dxa"/>
              <w:bottom w:w="90" w:type="dxa"/>
              <w:end w:w="110" w:type="dxa"/>
            </w:tcMar>
            <w:vAlign w:val="center"/>
          </w:tcPr>
          <w:p>
            <w:pPr>
              <w:spacing w:after="0" w:line="240" w:lineRule="auto"/>
            </w:pPr>
            <w:r>
              <w:rPr>
                <w:rFonts w:ascii="Aptos" w:hAnsi="Aptos"/>
                <w:sz w:val="18"/>
              </w:rPr>
              <w:t>7.766</w:t>
            </w:r>
          </w:p>
        </w:tc>
      </w:tr>
      <w:tr>
        <w:trPr>
          <w:cantSplit/>
        </w:trPr>
        <w:tc>
          <w:tcPr>
            <w:tcW w:type="dxa" w:w="8136"/>
            <w:tcMar>
              <w:top w:w="90" w:type="dxa"/>
              <w:start w:w="110" w:type="dxa"/>
              <w:bottom w:w="90" w:type="dxa"/>
              <w:end w:w="110" w:type="dxa"/>
            </w:tcMar>
            <w:vAlign w:val="center"/>
            <w:shd w:fill="EAF2F6"/>
          </w:tcPr>
          <w:p>
            <w:pPr>
              <w:spacing w:after="0" w:line="240" w:lineRule="auto"/>
            </w:pPr>
            <w:r>
              <w:rPr>
                <w:rFonts w:ascii="Aptos" w:hAnsi="Aptos"/>
                <w:b/>
                <w:sz w:val="18"/>
              </w:rPr>
              <w:t>Total emissions</w:t>
            </w:r>
          </w:p>
        </w:tc>
        <w:tc>
          <w:tcPr>
            <w:tcW w:type="dxa" w:w="1584"/>
            <w:tcMar>
              <w:top w:w="90" w:type="dxa"/>
              <w:start w:w="110" w:type="dxa"/>
              <w:bottom w:w="90" w:type="dxa"/>
              <w:end w:w="110" w:type="dxa"/>
            </w:tcMar>
            <w:vAlign w:val="center"/>
            <w:shd w:fill="EAF2F6"/>
          </w:tcPr>
          <w:p>
            <w:pPr>
              <w:spacing w:after="0" w:line="240" w:lineRule="auto"/>
            </w:pPr>
            <w:r>
              <w:rPr>
                <w:rFonts w:ascii="Aptos" w:hAnsi="Aptos"/>
                <w:b/>
                <w:sz w:val="18"/>
              </w:rPr>
              <w:t>9.756</w:t>
            </w:r>
          </w:p>
        </w:tc>
      </w:tr>
    </w:tbl>
    <w:p>
      <w:pPr>
        <w:pStyle w:val="Heading1"/>
      </w:pPr>
      <w:r>
        <w:t>4. Emissions reduction targets</w:t>
      </w:r>
    </w:p>
    <w:p>
      <w:r>
        <w:t>Phygital commits to a minimum 20% reduction in its reported operational footprint by 31 July 2031, relative to the 2025/26 baseline. This corresponds to a target of no more than 7.805 tCO2e, subject to transparent recalculation if improved primary data materially changes the baseline. Phygital remains committed to achieving net zero emissions by 2050 at the latest.</w:t>
      </w:r>
    </w:p>
    <w:tbl>
      <w:tblPr>
        <w:tblW w:type="dxa" w:w="9720"/>
        <w:jc w:val="center"/>
        <w:tblLayout w:type="fixed"/>
        <w:tblLook w:firstColumn="1" w:firstRow="1" w:lastColumn="0" w:lastRow="0" w:noHBand="0" w:noVBand="1" w:val="04A0"/>
      </w:tblPr>
      <w:tblGrid>
        <w:gridCol w:w="9792"/>
      </w:tblGrid>
      <w:tr>
        <w:trPr>
          <w:cantSplit/>
        </w:trPr>
        <w:tc>
          <w:tcPr>
            <w:tcW w:type="dxa" w:w="9720"/>
            <w:shd w:fill="EAF2F6"/>
            <w:tcMar>
              <w:top w:w="150" w:type="dxa"/>
              <w:start w:w="180" w:type="dxa"/>
              <w:bottom w:w="150" w:type="dxa"/>
              <w:end w:w="180" w:type="dxa"/>
            </w:tcMar>
          </w:tcPr>
          <w:p>
            <w:pPr>
              <w:spacing w:after="60"/>
            </w:pPr>
            <w:r>
              <w:rPr>
                <w:b/>
                <w:color w:val="15395B"/>
              </w:rPr>
              <w:t>Five-year target</w:t>
            </w:r>
          </w:p>
          <w:p>
            <w:pPr>
              <w:spacing w:after="0"/>
            </w:pPr>
            <w:r>
              <w:t>Baseline: 9.756 tCO2e  |  2030/31 target: no more than 7.805 tCO2e  |  Reduction: at least 20%</w:t>
            </w:r>
          </w:p>
        </w:tc>
      </w:tr>
    </w:tbl>
    <w:p>
      <w:pPr>
        <w:pStyle w:val="Heading1"/>
      </w:pPr>
      <w:r>
        <w:t>5. Carbon reduction projects</w:t>
      </w:r>
    </w:p>
    <w:p>
      <w:pPr>
        <w:pStyle w:val="Heading2"/>
      </w:pPr>
      <w:r>
        <w:t>Completed or established measures</w:t>
      </w:r>
    </w:p>
    <w:p>
      <w:pPr>
        <w:pStyle w:val="ListBullet"/>
        <w:spacing w:after="60"/>
        <w:ind w:left="403" w:hanging="230"/>
      </w:pPr>
      <w:r>
        <w:t>Maintained a fully battery-electric company fleet of four Tesla vehicles, with zero tailpipe emissions.</w:t>
      </w:r>
    </w:p>
    <w:p>
      <w:pPr>
        <w:pStyle w:val="ListBullet"/>
        <w:spacing w:after="60"/>
        <w:ind w:left="403" w:hanging="230"/>
      </w:pPr>
      <w:r>
        <w:t>Operated an all-electric office with no onsite combustion of natural gas, oil or LPG.</w:t>
      </w:r>
    </w:p>
    <w:p>
      <w:pPr>
        <w:pStyle w:val="ListBullet"/>
        <w:spacing w:after="60"/>
        <w:ind w:left="403" w:hanging="230"/>
      </w:pPr>
      <w:r>
        <w:t>Supported remote working, active travel, rail commuting and car-sharing arrangements.</w:t>
      </w:r>
    </w:p>
    <w:p>
      <w:pPr>
        <w:pStyle w:val="ListBullet"/>
        <w:spacing w:after="60"/>
        <w:ind w:left="403" w:hanging="230"/>
      </w:pPr>
      <w:r>
        <w:t>Used virtual meetings and digital delivery methods where appropriate to reduce avoidable business travel and physical distribution.</w:t>
      </w:r>
    </w:p>
    <w:p>
      <w:pPr>
        <w:pStyle w:val="ListBullet"/>
        <w:spacing w:after="60"/>
        <w:ind w:left="403" w:hanging="230"/>
      </w:pPr>
      <w:r>
        <w:t>Established annual carbon measurement and management through this first organisational footprint and Carbon Reduction Plan.</w:t>
      </w:r>
    </w:p>
    <w:p>
      <w:pPr>
        <w:pStyle w:val="Heading2"/>
      </w:pPr>
      <w:r>
        <w:t>Planned initiatives</w:t>
      </w:r>
    </w:p>
    <w:p>
      <w:pPr>
        <w:pStyle w:val="ListBullet"/>
        <w:spacing w:after="60"/>
        <w:ind w:left="403" w:hanging="230"/>
      </w:pPr>
      <w:r>
        <w:t>Replace supplier-estimated electricity consumption with verified meter readings and retain annual evidence for office and vehicle charging.</w:t>
      </w:r>
    </w:p>
    <w:p>
      <w:pPr>
        <w:pStyle w:val="ListBullet"/>
        <w:spacing w:after="60"/>
        <w:ind w:left="403" w:hanging="230"/>
      </w:pPr>
      <w:r>
        <w:t>Adopt a rail-first and virtual-first business travel hierarchy, with director approval for avoidable flights and improved capture of journey distance and class.</w:t>
      </w:r>
    </w:p>
    <w:p>
      <w:pPr>
        <w:pStyle w:val="ListBullet"/>
        <w:spacing w:after="60"/>
        <w:ind w:left="403" w:hanging="230"/>
      </w:pPr>
      <w:r>
        <w:t>Engage the waste contractor to confirm treatment route and introduce separate recycling streams where practicable.</w:t>
      </w:r>
    </w:p>
    <w:p>
      <w:pPr>
        <w:pStyle w:val="ListBullet"/>
        <w:spacing w:after="60"/>
        <w:ind w:left="403" w:hanging="230"/>
      </w:pPr>
      <w:r>
        <w:t>Request carbon information from material suppliers and courier partners, consolidating consignments to reduce delivery frequency.</w:t>
      </w:r>
    </w:p>
    <w:p>
      <w:pPr>
        <w:pStyle w:val="ListBullet"/>
        <w:spacing w:after="60"/>
        <w:ind w:left="403" w:hanging="230"/>
      </w:pPr>
      <w:r>
        <w:t>Encourage off-peak and lower-carbon EV charging and assess a verified renewable electricity tariff at the next energy contract review.</w:t>
      </w:r>
    </w:p>
    <w:p>
      <w:pPr>
        <w:pStyle w:val="ListBullet"/>
        <w:spacing w:after="60"/>
        <w:ind w:left="403" w:hanging="230"/>
      </w:pPr>
      <w:r>
        <w:t>Review progress annually, update this plan within six months of the reporting year-end, and publish the latest approved version on the company website.</w:t>
      </w:r>
    </w:p>
    <w:p>
      <w:pPr>
        <w:pStyle w:val="Heading1"/>
      </w:pPr>
      <w:r>
        <w:t>6. Data quality and estimation notes</w:t>
      </w:r>
    </w:p>
    <w:tbl>
      <w:tblPr>
        <w:tblStyle w:val="TableGrid"/>
        <w:tblW w:type="dxa" w:w="9720"/>
        <w:jc w:val="center"/>
        <w:tblLayout w:type="fixed"/>
        <w:tblLook w:firstColumn="1" w:firstRow="1" w:lastColumn="0" w:lastRow="0" w:noHBand="0" w:noVBand="1" w:val="04A0"/>
      </w:tblPr>
      <w:tblGrid>
        <w:gridCol w:w="4896"/>
        <w:gridCol w:w="4896"/>
      </w:tblGrid>
      <w:tr>
        <w:trPr>
          <w:tblHeader w:val="true"/>
          <w:cantSplit/>
        </w:trPr>
        <w:tc>
          <w:tcPr>
            <w:tcW w:type="dxa" w:w="2088"/>
            <w:tcMar>
              <w:top w:w="90" w:type="dxa"/>
              <w:start w:w="110" w:type="dxa"/>
              <w:bottom w:w="90" w:type="dxa"/>
              <w:end w:w="110" w:type="dxa"/>
            </w:tcMar>
            <w:vAlign w:val="center"/>
            <w:shd w:fill="15395B"/>
          </w:tcPr>
          <w:p>
            <w:pPr>
              <w:spacing w:after="0" w:line="240" w:lineRule="auto"/>
            </w:pPr>
            <w:r>
              <w:rPr>
                <w:rFonts w:ascii="Aptos" w:hAnsi="Aptos"/>
                <w:b/>
                <w:color w:val="FFFFFF"/>
                <w:sz w:val="18"/>
              </w:rPr>
              <w:t>Activity</w:t>
            </w:r>
          </w:p>
        </w:tc>
        <w:tc>
          <w:tcPr>
            <w:tcW w:type="dxa" w:w="7632"/>
            <w:tcMar>
              <w:top w:w="90" w:type="dxa"/>
              <w:start w:w="110" w:type="dxa"/>
              <w:bottom w:w="90" w:type="dxa"/>
              <w:end w:w="110" w:type="dxa"/>
            </w:tcMar>
            <w:vAlign w:val="center"/>
            <w:shd w:fill="15395B"/>
          </w:tcPr>
          <w:p>
            <w:pPr>
              <w:spacing w:after="0" w:line="240" w:lineRule="auto"/>
            </w:pPr>
            <w:r>
              <w:rPr>
                <w:rFonts w:ascii="Aptos" w:hAnsi="Aptos"/>
                <w:b/>
                <w:color w:val="FFFFFF"/>
                <w:sz w:val="18"/>
              </w:rPr>
              <w:t>Method and limitation</w:t>
            </w:r>
          </w:p>
        </w:tc>
      </w:tr>
      <w:tr>
        <w:trPr>
          <w:cantSplit/>
        </w:trPr>
        <w:tc>
          <w:tcPr>
            <w:tcW w:type="dxa" w:w="2088"/>
            <w:tcMar>
              <w:top w:w="90" w:type="dxa"/>
              <w:start w:w="110" w:type="dxa"/>
              <w:bottom w:w="90" w:type="dxa"/>
              <w:end w:w="110" w:type="dxa"/>
            </w:tcMar>
            <w:vAlign w:val="center"/>
          </w:tcPr>
          <w:p>
            <w:pPr>
              <w:spacing w:after="0" w:line="240" w:lineRule="auto"/>
            </w:pPr>
            <w:r>
              <w:rPr>
                <w:rFonts w:ascii="Aptos" w:hAnsi="Aptos"/>
                <w:sz w:val="18"/>
              </w:rPr>
              <w:t>Office electricity</w:t>
            </w:r>
          </w:p>
        </w:tc>
        <w:tc>
          <w:tcPr>
            <w:tcW w:type="dxa" w:w="7632"/>
            <w:tcMar>
              <w:top w:w="90" w:type="dxa"/>
              <w:start w:w="110" w:type="dxa"/>
              <w:bottom w:w="90" w:type="dxa"/>
              <w:end w:w="110" w:type="dxa"/>
            </w:tcMar>
            <w:vAlign w:val="center"/>
          </w:tcPr>
          <w:p>
            <w:pPr>
              <w:spacing w:after="0" w:line="240" w:lineRule="auto"/>
            </w:pPr>
            <w:r>
              <w:rPr>
                <w:rFonts w:ascii="Aptos" w:hAnsi="Aptos"/>
                <w:sz w:val="18"/>
              </w:rPr>
              <w:t>4,551.773 kWh annual consumption based on the supplier's estimated annual usage. Five monthly invoices were reviewed; available readings were supplier estimates.</w:t>
            </w:r>
          </w:p>
        </w:tc>
      </w:tr>
      <w:tr>
        <w:trPr>
          <w:cantSplit/>
        </w:trPr>
        <w:tc>
          <w:tcPr>
            <w:tcW w:type="dxa" w:w="2088"/>
            <w:tcMar>
              <w:top w:w="90" w:type="dxa"/>
              <w:start w:w="110" w:type="dxa"/>
              <w:bottom w:w="90" w:type="dxa"/>
              <w:end w:w="110" w:type="dxa"/>
            </w:tcMar>
            <w:vAlign w:val="center"/>
          </w:tcPr>
          <w:p>
            <w:pPr>
              <w:spacing w:after="0" w:line="240" w:lineRule="auto"/>
            </w:pPr>
            <w:r>
              <w:rPr>
                <w:rFonts w:ascii="Aptos" w:hAnsi="Aptos"/>
                <w:sz w:val="18"/>
              </w:rPr>
              <w:t>Company EVs</w:t>
            </w:r>
          </w:p>
        </w:tc>
        <w:tc>
          <w:tcPr>
            <w:tcW w:type="dxa" w:w="7632"/>
            <w:tcMar>
              <w:top w:w="90" w:type="dxa"/>
              <w:start w:w="110" w:type="dxa"/>
              <w:bottom w:w="90" w:type="dxa"/>
              <w:end w:w="110" w:type="dxa"/>
            </w:tcMar>
            <w:vAlign w:val="center"/>
          </w:tcPr>
          <w:p>
            <w:pPr>
              <w:spacing w:after="0" w:line="240" w:lineRule="auto"/>
            </w:pPr>
            <w:r>
              <w:rPr>
                <w:rFonts w:ascii="Aptos" w:hAnsi="Aptos"/>
                <w:sz w:val="18"/>
              </w:rPr>
              <w:t>38,000 vehicle-miles estimated from four company-owned Teslas at approximately 9,500 miles each per year. Electricity consumption is estimated at 0.28 kWh/mile, giving 10,640 kWh. Charging is assumed to be split equally between home and public charging.</w:t>
            </w:r>
          </w:p>
        </w:tc>
      </w:tr>
      <w:tr>
        <w:trPr>
          <w:cantSplit/>
        </w:trPr>
        <w:tc>
          <w:tcPr>
            <w:tcW w:type="dxa" w:w="2088"/>
            <w:tcMar>
              <w:top w:w="90" w:type="dxa"/>
              <w:start w:w="110" w:type="dxa"/>
              <w:bottom w:w="90" w:type="dxa"/>
              <w:end w:w="110" w:type="dxa"/>
            </w:tcMar>
            <w:vAlign w:val="center"/>
          </w:tcPr>
          <w:p>
            <w:pPr>
              <w:spacing w:after="0" w:line="240" w:lineRule="auto"/>
            </w:pPr>
            <w:r>
              <w:rPr>
                <w:rFonts w:ascii="Aptos" w:hAnsi="Aptos"/>
                <w:sz w:val="18"/>
              </w:rPr>
              <w:t>Waste</w:t>
            </w:r>
          </w:p>
        </w:tc>
        <w:tc>
          <w:tcPr>
            <w:tcW w:type="dxa" w:w="7632"/>
            <w:tcMar>
              <w:top w:w="90" w:type="dxa"/>
              <w:start w:w="110" w:type="dxa"/>
              <w:bottom w:w="90" w:type="dxa"/>
              <w:end w:w="110" w:type="dxa"/>
            </w:tcMar>
            <w:vAlign w:val="center"/>
          </w:tcPr>
          <w:p>
            <w:pPr>
              <w:spacing w:after="0" w:line="240" w:lineRule="auto"/>
            </w:pPr>
            <w:r>
              <w:rPr>
                <w:rFonts w:ascii="Aptos" w:hAnsi="Aptos"/>
                <w:sz w:val="18"/>
              </w:rPr>
              <w:t>42.9 m3 per year derived from a 1,100-litre bin, 75% full, collected 52 times. A density of 0.10 tonnes/m3 and the commercial and industrial waste landfill factor were used conservatively pending treatment-route and weight data.</w:t>
            </w:r>
          </w:p>
        </w:tc>
      </w:tr>
      <w:tr>
        <w:trPr>
          <w:cantSplit/>
        </w:trPr>
        <w:tc>
          <w:tcPr>
            <w:tcW w:type="dxa" w:w="2088"/>
            <w:tcMar>
              <w:top w:w="90" w:type="dxa"/>
              <w:start w:w="110" w:type="dxa"/>
              <w:bottom w:w="90" w:type="dxa"/>
              <w:end w:w="110" w:type="dxa"/>
            </w:tcMar>
            <w:vAlign w:val="center"/>
          </w:tcPr>
          <w:p>
            <w:pPr>
              <w:spacing w:after="0" w:line="240" w:lineRule="auto"/>
            </w:pPr>
            <w:r>
              <w:rPr>
                <w:rFonts w:ascii="Aptos" w:hAnsi="Aptos"/>
                <w:sz w:val="18"/>
              </w:rPr>
              <w:t>Flights</w:t>
            </w:r>
          </w:p>
        </w:tc>
        <w:tc>
          <w:tcPr>
            <w:tcW w:type="dxa" w:w="7632"/>
            <w:tcMar>
              <w:top w:w="90" w:type="dxa"/>
              <w:start w:w="110" w:type="dxa"/>
              <w:bottom w:w="90" w:type="dxa"/>
              <w:end w:w="110" w:type="dxa"/>
            </w:tcMar>
            <w:vAlign w:val="center"/>
          </w:tcPr>
          <w:p>
            <w:pPr>
              <w:spacing w:after="0" w:line="240" w:lineRule="auto"/>
            </w:pPr>
            <w:r>
              <w:rPr>
                <w:rFonts w:ascii="Aptos" w:hAnsi="Aptos"/>
                <w:sz w:val="18"/>
              </w:rPr>
              <w:t>Accounting records identified airline purchases but not passenger distance or class. The estimate uses seven average short-haul return journeys (10,500 passenger-km) and two average long-haul return journeys (22,000 passenger-km), including radiative forcing.</w:t>
            </w:r>
          </w:p>
        </w:tc>
      </w:tr>
      <w:tr>
        <w:trPr>
          <w:cantSplit/>
        </w:trPr>
        <w:tc>
          <w:tcPr>
            <w:tcW w:type="dxa" w:w="2088"/>
            <w:tcMar>
              <w:top w:w="90" w:type="dxa"/>
              <w:start w:w="110" w:type="dxa"/>
              <w:bottom w:w="90" w:type="dxa"/>
              <w:end w:w="110" w:type="dxa"/>
            </w:tcMar>
            <w:vAlign w:val="center"/>
          </w:tcPr>
          <w:p>
            <w:pPr>
              <w:spacing w:after="0" w:line="240" w:lineRule="auto"/>
            </w:pPr>
            <w:r>
              <w:rPr>
                <w:rFonts w:ascii="Aptos" w:hAnsi="Aptos"/>
                <w:sz w:val="18"/>
              </w:rPr>
              <w:t>Business rail</w:t>
            </w:r>
          </w:p>
        </w:tc>
        <w:tc>
          <w:tcPr>
            <w:tcW w:type="dxa" w:w="7632"/>
            <w:tcMar>
              <w:top w:w="90" w:type="dxa"/>
              <w:start w:w="110" w:type="dxa"/>
              <w:bottom w:w="90" w:type="dxa"/>
              <w:end w:w="110" w:type="dxa"/>
            </w:tcMar>
            <w:vAlign w:val="center"/>
          </w:tcPr>
          <w:p>
            <w:pPr>
              <w:spacing w:after="0" w:line="240" w:lineRule="auto"/>
            </w:pPr>
            <w:r>
              <w:rPr>
                <w:rFonts w:ascii="Aptos" w:hAnsi="Aptos"/>
                <w:sz w:val="18"/>
              </w:rPr>
              <w:t>58 rail transactions were treated as approximately 5,600 passenger-km in total. Eurostar is included within this estimate.</w:t>
            </w:r>
          </w:p>
        </w:tc>
      </w:tr>
      <w:tr>
        <w:trPr>
          <w:cantSplit/>
        </w:trPr>
        <w:tc>
          <w:tcPr>
            <w:tcW w:type="dxa" w:w="2088"/>
            <w:tcMar>
              <w:top w:w="90" w:type="dxa"/>
              <w:start w:w="110" w:type="dxa"/>
              <w:bottom w:w="90" w:type="dxa"/>
              <w:end w:w="110" w:type="dxa"/>
            </w:tcMar>
            <w:vAlign w:val="center"/>
          </w:tcPr>
          <w:p>
            <w:pPr>
              <w:spacing w:after="0" w:line="240" w:lineRule="auto"/>
            </w:pPr>
            <w:r>
              <w:rPr>
                <w:rFonts w:ascii="Aptos" w:hAnsi="Aptos"/>
                <w:sz w:val="18"/>
              </w:rPr>
              <w:t>Hire cars and taxis</w:t>
            </w:r>
          </w:p>
        </w:tc>
        <w:tc>
          <w:tcPr>
            <w:tcW w:type="dxa" w:w="7632"/>
            <w:tcMar>
              <w:top w:w="90" w:type="dxa"/>
              <w:start w:w="110" w:type="dxa"/>
              <w:bottom w:w="90" w:type="dxa"/>
              <w:end w:w="110" w:type="dxa"/>
            </w:tcMar>
            <w:vAlign w:val="center"/>
          </w:tcPr>
          <w:p>
            <w:pPr>
              <w:spacing w:after="0" w:line="240" w:lineRule="auto"/>
            </w:pPr>
            <w:r>
              <w:rPr>
                <w:rFonts w:ascii="Aptos" w:hAnsi="Aptos"/>
                <w:sz w:val="18"/>
              </w:rPr>
              <w:t>Hire-car fuel was estimated from GBP180.41 of fuel expenditure at GBP1.45/litre and treated as petrol. Six taxi journeys were estimated at 15 km each.</w:t>
            </w:r>
          </w:p>
        </w:tc>
      </w:tr>
      <w:tr>
        <w:trPr>
          <w:cantSplit/>
        </w:trPr>
        <w:tc>
          <w:tcPr>
            <w:tcW w:type="dxa" w:w="2088"/>
            <w:tcMar>
              <w:top w:w="90" w:type="dxa"/>
              <w:start w:w="110" w:type="dxa"/>
              <w:bottom w:w="90" w:type="dxa"/>
              <w:end w:w="110" w:type="dxa"/>
            </w:tcMar>
            <w:vAlign w:val="center"/>
          </w:tcPr>
          <w:p>
            <w:pPr>
              <w:spacing w:after="0" w:line="240" w:lineRule="auto"/>
            </w:pPr>
            <w:r>
              <w:rPr>
                <w:rFonts w:ascii="Aptos" w:hAnsi="Aptos"/>
                <w:sz w:val="18"/>
              </w:rPr>
              <w:t>Hotels</w:t>
            </w:r>
          </w:p>
        </w:tc>
        <w:tc>
          <w:tcPr>
            <w:tcW w:type="dxa" w:w="7632"/>
            <w:tcMar>
              <w:top w:w="90" w:type="dxa"/>
              <w:start w:w="110" w:type="dxa"/>
              <w:bottom w:w="90" w:type="dxa"/>
              <w:end w:w="110" w:type="dxa"/>
            </w:tcMar>
            <w:vAlign w:val="center"/>
          </w:tcPr>
          <w:p>
            <w:pPr>
              <w:spacing w:after="0" w:line="240" w:lineRule="auto"/>
            </w:pPr>
            <w:r>
              <w:rPr>
                <w:rFonts w:ascii="Aptos" w:hAnsi="Aptos"/>
                <w:sz w:val="18"/>
              </w:rPr>
              <w:t>10 UK room-nights were used as a provisional estimate because booking data was unavailable.</w:t>
            </w:r>
          </w:p>
        </w:tc>
      </w:tr>
      <w:tr>
        <w:trPr>
          <w:cantSplit/>
        </w:trPr>
        <w:tc>
          <w:tcPr>
            <w:tcW w:type="dxa" w:w="2088"/>
            <w:tcMar>
              <w:top w:w="90" w:type="dxa"/>
              <w:start w:w="110" w:type="dxa"/>
              <w:bottom w:w="90" w:type="dxa"/>
              <w:end w:w="110" w:type="dxa"/>
            </w:tcMar>
            <w:vAlign w:val="center"/>
          </w:tcPr>
          <w:p>
            <w:pPr>
              <w:spacing w:after="0" w:line="240" w:lineRule="auto"/>
            </w:pPr>
            <w:r>
              <w:rPr>
                <w:rFonts w:ascii="Aptos" w:hAnsi="Aptos"/>
                <w:sz w:val="18"/>
              </w:rPr>
              <w:t>Commuting</w:t>
            </w:r>
          </w:p>
        </w:tc>
        <w:tc>
          <w:tcPr>
            <w:tcW w:type="dxa" w:w="7632"/>
            <w:tcMar>
              <w:top w:w="90" w:type="dxa"/>
              <w:start w:w="110" w:type="dxa"/>
              <w:bottom w:w="90" w:type="dxa"/>
              <w:end w:w="110" w:type="dxa"/>
            </w:tcMar>
            <w:vAlign w:val="center"/>
          </w:tcPr>
          <w:p>
            <w:pPr>
              <w:spacing w:after="0" w:line="240" w:lineRule="auto"/>
            </w:pPr>
            <w:r>
              <w:rPr>
                <w:rFonts w:ascii="Aptos" w:hAnsi="Aptos"/>
                <w:sz w:val="18"/>
              </w:rPr>
              <w:t>One employee is assumed to travel 20 miles each way by national rail, three days per week for 46 working weeks. One employee works remotely, one walks and one car-shares.</w:t>
            </w:r>
          </w:p>
        </w:tc>
      </w:tr>
      <w:tr>
        <w:trPr>
          <w:cantSplit/>
        </w:trPr>
        <w:tc>
          <w:tcPr>
            <w:tcW w:type="dxa" w:w="2088"/>
            <w:tcMar>
              <w:top w:w="90" w:type="dxa"/>
              <w:start w:w="110" w:type="dxa"/>
              <w:bottom w:w="90" w:type="dxa"/>
              <w:end w:w="110" w:type="dxa"/>
            </w:tcMar>
            <w:vAlign w:val="center"/>
          </w:tcPr>
          <w:p>
            <w:pPr>
              <w:spacing w:after="0" w:line="240" w:lineRule="auto"/>
            </w:pPr>
            <w:r>
              <w:rPr>
                <w:rFonts w:ascii="Aptos" w:hAnsi="Aptos"/>
                <w:sz w:val="18"/>
              </w:rPr>
              <w:t>Courier activity</w:t>
            </w:r>
          </w:p>
        </w:tc>
        <w:tc>
          <w:tcPr>
            <w:tcW w:type="dxa" w:w="7632"/>
            <w:tcMar>
              <w:top w:w="90" w:type="dxa"/>
              <w:start w:w="110" w:type="dxa"/>
              <w:bottom w:w="90" w:type="dxa"/>
              <w:end w:w="110" w:type="dxa"/>
            </w:tcMar>
            <w:vAlign w:val="center"/>
          </w:tcPr>
          <w:p>
            <w:pPr>
              <w:spacing w:after="0" w:line="240" w:lineRule="auto"/>
            </w:pPr>
            <w:r>
              <w:rPr>
                <w:rFonts w:ascii="Aptos" w:hAnsi="Aptos"/>
                <w:sz w:val="18"/>
              </w:rPr>
              <w:t>Twelve small consignments per year were split equally between upstream and downstream categories using a conservative per-parcel proxy pending carrier data.</w:t>
            </w:r>
          </w:p>
        </w:tc>
      </w:tr>
    </w:tbl>
    <w:p>
      <w:r>
        <w:br w:type="page"/>
      </w:r>
    </w:p>
    <w:p>
      <w:pPr>
        <w:pStyle w:val="Heading1"/>
      </w:pPr>
      <w:r>
        <w:t>7. Declaration and sign-off</w:t>
      </w:r>
    </w:p>
    <w:p>
      <w:r>
        <w:t>This Carbon Reduction Plan has been completed in accordance with PPN 006 and the associated guidance and reporting standard for Carbon Reduction Plans. Emissions have been reported and recorded in accordance with the GHG Reporting Protocol Corporate Standard and use the UK Government GHG Conversion Factors for Company Reporting 2026.</w:t>
      </w:r>
    </w:p>
    <w:p>
      <w:r>
        <w:t>Scope 1 and Scope 2 emissions have been reported in accordance with applicable reporting requirements, and the required subset of Scope 3 emissions has been reported in accordance with the published reporting standard for Carbon Reduction Plans and the Corporate Value Chain (Scope 3) Standard.</w:t>
      </w:r>
    </w:p>
    <w:p>
      <w:r>
        <w:t>This Carbon Reduction Plan was reviewed and approved by a director of Phygital Ltd on 26 August 2026.</w:t>
      </w:r>
    </w:p>
    <w:tbl>
      <w:tblPr>
        <w:tblStyle w:val="TableGrid"/>
        <w:tblW w:type="dxa" w:w="9720"/>
        <w:jc w:val="center"/>
        <w:tblLayout w:type="fixed"/>
        <w:tblLook w:firstColumn="1" w:firstRow="1" w:lastColumn="0" w:lastRow="0" w:noHBand="0" w:noVBand="1" w:val="04A0"/>
      </w:tblPr>
      <w:tblGrid>
        <w:gridCol w:w="4896"/>
        <w:gridCol w:w="4896"/>
      </w:tblGrid>
      <w:tr>
        <w:trPr>
          <w:cantSplit/>
        </w:trPr>
        <w:tc>
          <w:tcPr>
            <w:tcW w:type="dxa" w:w="3240"/>
            <w:shd w:fill="EAF2F6"/>
            <w:tcMar>
              <w:top w:w="90" w:type="dxa"/>
              <w:start w:w="110" w:type="dxa"/>
              <w:bottom w:w="90" w:type="dxa"/>
              <w:end w:w="110" w:type="dxa"/>
            </w:tcMar>
            <w:vAlign w:val="center"/>
          </w:tcPr>
          <w:p>
            <w:pPr>
              <w:spacing w:after="0" w:line="240" w:lineRule="auto"/>
            </w:pPr>
            <w:r>
              <w:rPr>
                <w:rFonts w:ascii="Aptos" w:hAnsi="Aptos"/>
                <w:b/>
                <w:color w:val="15395B"/>
                <w:sz w:val="18"/>
              </w:rPr>
              <w:t>Signed on behalf of Phygital Ltd</w:t>
            </w:r>
          </w:p>
        </w:tc>
        <w:tc>
          <w:tcPr>
            <w:tcW w:type="dxa" w:w="6480"/>
            <w:tcMar>
              <w:top w:w="90" w:type="dxa"/>
              <w:start w:w="110" w:type="dxa"/>
              <w:bottom w:w="90" w:type="dxa"/>
              <w:end w:w="110" w:type="dxa"/>
            </w:tcMar>
            <w:vAlign w:val="center"/>
          </w:tcPr>
          <w:p>
            <w:pPr>
              <w:spacing w:after="0" w:line="240" w:lineRule="auto"/>
            </w:pPr>
            <w:r>
              <w:rPr>
                <w:rFonts w:ascii="Aptos" w:hAnsi="Aptos"/>
                <w:sz w:val="18"/>
              </w:rPr>
              <w:t>Peter Gardiner</w:t>
            </w:r>
          </w:p>
        </w:tc>
      </w:tr>
      <w:tr>
        <w:trPr>
          <w:cantSplit/>
        </w:trPr>
        <w:tc>
          <w:tcPr>
            <w:tcW w:type="dxa" w:w="3240"/>
            <w:shd w:fill="EAF2F6"/>
            <w:tcMar>
              <w:top w:w="90" w:type="dxa"/>
              <w:start w:w="110" w:type="dxa"/>
              <w:bottom w:w="90" w:type="dxa"/>
              <w:end w:w="110" w:type="dxa"/>
            </w:tcMar>
            <w:vAlign w:val="center"/>
          </w:tcPr>
          <w:p>
            <w:pPr>
              <w:spacing w:after="0" w:line="240" w:lineRule="auto"/>
            </w:pPr>
            <w:r>
              <w:rPr>
                <w:rFonts w:ascii="Aptos" w:hAnsi="Aptos"/>
                <w:b/>
                <w:color w:val="15395B"/>
                <w:sz w:val="18"/>
              </w:rPr>
              <w:t>Job title</w:t>
            </w:r>
          </w:p>
        </w:tc>
        <w:tc>
          <w:tcPr>
            <w:tcW w:type="dxa" w:w="6480"/>
            <w:tcMar>
              <w:top w:w="90" w:type="dxa"/>
              <w:start w:w="110" w:type="dxa"/>
              <w:bottom w:w="90" w:type="dxa"/>
              <w:end w:w="110" w:type="dxa"/>
            </w:tcMar>
            <w:vAlign w:val="center"/>
          </w:tcPr>
          <w:p>
            <w:pPr>
              <w:spacing w:after="0" w:line="240" w:lineRule="auto"/>
            </w:pPr>
            <w:r>
              <w:rPr>
                <w:rFonts w:ascii="Aptos" w:hAnsi="Aptos"/>
                <w:sz w:val="18"/>
              </w:rPr>
              <w:t>Operations Director</w:t>
            </w:r>
          </w:p>
        </w:tc>
      </w:tr>
      <w:tr>
        <w:trPr>
          <w:cantSplit/>
        </w:trPr>
        <w:tc>
          <w:tcPr>
            <w:tcW w:type="dxa" w:w="3240"/>
            <w:shd w:fill="EAF2F6"/>
            <w:tcMar>
              <w:top w:w="90" w:type="dxa"/>
              <w:start w:w="110" w:type="dxa"/>
              <w:bottom w:w="90" w:type="dxa"/>
              <w:end w:w="110" w:type="dxa"/>
            </w:tcMar>
            <w:vAlign w:val="center"/>
          </w:tcPr>
          <w:p>
            <w:pPr>
              <w:spacing w:after="0" w:line="240" w:lineRule="auto"/>
            </w:pPr>
            <w:r>
              <w:rPr>
                <w:rFonts w:ascii="Aptos" w:hAnsi="Aptos"/>
                <w:b/>
                <w:color w:val="15395B"/>
                <w:sz w:val="18"/>
              </w:rPr>
              <w:t>Board/director approval date</w:t>
            </w:r>
          </w:p>
        </w:tc>
        <w:tc>
          <w:tcPr>
            <w:tcW w:type="dxa" w:w="6480"/>
            <w:tcMar>
              <w:top w:w="90" w:type="dxa"/>
              <w:start w:w="110" w:type="dxa"/>
              <w:bottom w:w="90" w:type="dxa"/>
              <w:end w:w="110" w:type="dxa"/>
            </w:tcMar>
            <w:vAlign w:val="center"/>
          </w:tcPr>
          <w:p>
            <w:pPr>
              <w:spacing w:after="0" w:line="240" w:lineRule="auto"/>
            </w:pPr>
            <w:r>
              <w:rPr>
                <w:rFonts w:ascii="Aptos" w:hAnsi="Aptos"/>
                <w:sz w:val="18"/>
              </w:rPr>
              <w:t>26 August 2026</w:t>
            </w:r>
          </w:p>
        </w:tc>
      </w:tr>
      <w:tr>
        <w:trPr>
          <w:cantSplit/>
        </w:trPr>
        <w:tc>
          <w:tcPr>
            <w:tcW w:type="dxa" w:w="3240"/>
            <w:shd w:fill="EAF2F6"/>
            <w:tcMar>
              <w:top w:w="90" w:type="dxa"/>
              <w:start w:w="110" w:type="dxa"/>
              <w:bottom w:w="90" w:type="dxa"/>
              <w:end w:w="110" w:type="dxa"/>
            </w:tcMar>
            <w:vAlign w:val="center"/>
          </w:tcPr>
          <w:p>
            <w:pPr>
              <w:spacing w:after="0" w:line="240" w:lineRule="auto"/>
            </w:pPr>
            <w:r>
              <w:rPr>
                <w:rFonts w:ascii="Aptos" w:hAnsi="Aptos"/>
                <w:b/>
                <w:color w:val="15395B"/>
                <w:sz w:val="18"/>
              </w:rPr>
              <w:t>Signature / typed approval</w:t>
            </w:r>
          </w:p>
        </w:tc>
        <w:tc>
          <w:tcPr>
            <w:tcW w:type="dxa" w:w="6480"/>
            <w:tcMar>
              <w:top w:w="90" w:type="dxa"/>
              <w:start w:w="110" w:type="dxa"/>
              <w:bottom w:w="90" w:type="dxa"/>
              <w:end w:w="110" w:type="dxa"/>
            </w:tcMar>
            <w:vAlign w:val="center"/>
          </w:tcPr>
          <w:p>
            <w:pPr>
              <w:spacing w:after="0" w:line="240" w:lineRule="auto"/>
            </w:pPr>
            <w:r>
              <w:rPr>
                <w:rFonts w:ascii="Aptos" w:hAnsi="Aptos"/>
                <w:sz w:val="18"/>
              </w:rPr>
              <w:t>Approved by Peter Gardiner, Operations Director</w:t>
            </w:r>
          </w:p>
        </w:tc>
      </w:tr>
      <w:tr>
        <w:trPr>
          <w:cantSplit/>
        </w:trPr>
        <w:tc>
          <w:tcPr>
            <w:tcW w:type="dxa" w:w="3240"/>
            <w:shd w:fill="EAF2F6"/>
            <w:tcMar>
              <w:top w:w="90" w:type="dxa"/>
              <w:start w:w="110" w:type="dxa"/>
              <w:bottom w:w="90" w:type="dxa"/>
              <w:end w:w="110" w:type="dxa"/>
            </w:tcMar>
            <w:vAlign w:val="center"/>
          </w:tcPr>
          <w:p>
            <w:pPr>
              <w:spacing w:after="0" w:line="240" w:lineRule="auto"/>
            </w:pPr>
            <w:r>
              <w:rPr>
                <w:rFonts w:ascii="Aptos" w:hAnsi="Aptos"/>
                <w:b/>
                <w:color w:val="15395B"/>
                <w:sz w:val="18"/>
              </w:rPr>
              <w:t>Publication URL</w:t>
            </w:r>
          </w:p>
        </w:tc>
        <w:tc>
          <w:tcPr>
            <w:tcW w:type="dxa" w:w="6480"/>
            <w:tcMar>
              <w:top w:w="90" w:type="dxa"/>
              <w:start w:w="110" w:type="dxa"/>
              <w:bottom w:w="90" w:type="dxa"/>
              <w:end w:w="110" w:type="dxa"/>
            </w:tcMar>
            <w:vAlign w:val="center"/>
          </w:tcPr>
          <w:p>
            <w:pPr>
              <w:spacing w:after="0" w:line="240" w:lineRule="auto"/>
            </w:pPr>
            <w:r>
              <w:rPr>
                <w:rFonts w:ascii="Aptos" w:hAnsi="Aptos"/>
                <w:sz w:val="18"/>
              </w:rPr>
              <w:t>www.phygital.co.uk</w:t>
            </w:r>
          </w:p>
        </w:tc>
      </w:tr>
    </w:tbl>
    <w:p>
      <w:pPr>
        <w:pStyle w:val="Heading1"/>
      </w:pPr>
      <w:r>
        <w:t>Sources</w:t>
      </w:r>
    </w:p>
    <w:p>
      <w:pPr>
        <w:pStyle w:val="Smallnote"/>
      </w:pPr>
      <w:r>
        <w:t>Cabinet Office, PPN 006: Taking account of Carbon Reduction Plans in the procurement of major government contracts (updated 10 July 2025): https://www.gov.uk/government/publications/ppn-006-taking-account-of-carbon-reduction-plans-in-the-procurement-of-major-government-contracts</w:t>
      </w:r>
    </w:p>
    <w:p>
      <w:pPr>
        <w:pStyle w:val="Smallnote"/>
      </w:pPr>
      <w:r>
        <w:t>Department for Energy Security and Net Zero, Greenhouse gas reporting: conversion factors 2026 (updated 31 July 2026): https://www.gov.uk/government/publications/greenhouse-gas-reporting-conversion-factors-2026</w:t>
      </w:r>
    </w:p>
    <w:p>
      <w:pPr>
        <w:pStyle w:val="Smallnote"/>
      </w:pPr>
      <w:r>
        <w:t>GHG Protocol Corporate Standard: https://ghgprotocol.org/corporate-standard</w:t>
      </w:r>
    </w:p>
    <w:p>
      <w:pPr>
        <w:pStyle w:val="Smallnote"/>
      </w:pPr>
      <w:r>
        <w:t>GHG Protocol Corporate Value Chain (Scope 3) Standard: https://ghgprotocol.org/standards/scope-3-standard</w:t>
      </w:r>
    </w:p>
    <w:sectPr w:rsidR="00FC693F" w:rsidRPr="0006063C" w:rsidSect="00034616">
      <w:headerReference w:type="default" r:id="rId9"/>
      <w:footerReference w:type="default" r:id="rId10"/>
      <w:pgSz w:w="12240" w:h="15840"/>
      <w:pgMar w:top="1080" w:right="1224" w:bottom="1080" w:left="1224"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26777"/>
        <w:sz w:val="16"/>
      </w:rPr>
      <w:t>Approved final version | 26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526777"/>
        <w:sz w:val="16"/>
      </w:rPr>
      <w:t>PHYGITAL LTD  |  CARBON REDUCTION PLAN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ptos" w:hAnsi="Aptos"/>
      <w:color w:val="1A1A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Aptos Display" w:hAnsi="Aptos Display"/>
      <w:b/>
      <w:bCs/>
      <w:color w:val="15395B"/>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0078A8"/>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Display" w:hAnsi="Aptos Display"/>
      <w:b/>
      <w:bCs/>
      <w:color w:val="15395B"/>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80"/>
    </w:pPr>
    <w:rPr>
      <w:rFonts w:ascii="Aptos" w:hAnsi="Aptos"/>
      <w:color w:val="526777"/>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Phygital Ltd Carbon Reduction Plan 2026</dc:title>
  <dc:subject>Approved Carbon Reduction Plan prepared in accordance with PPN 006</dc:subject>
  <dc:creator>Phygital Ltd</dc:creator>
  <cp:keywords>Carbon Reduction Plan, PPN 006, NHS Evergreen, net zero</cp:keywords>
  <dc:description>Approved for publication on 26 August 2026.</dc:description>
  <cp:lastModifiedBy/>
  <cp:revision>1</cp:revision>
  <dcterms:created xsi:type="dcterms:W3CDTF">2013-12-23T23:15:00Z</dcterms:created>
  <dcterms:modified xsi:type="dcterms:W3CDTF">2013-12-23T23:15:00Z</dcterms:modified>
  <cp:category/>
</cp:coreProperties>
</file>